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A0" w:rsidRDefault="006A47E5" w:rsidP="008F24B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6A47E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Лауреат </w:t>
      </w:r>
      <w:proofErr w:type="gramStart"/>
      <w:r w:rsidRPr="006A47E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Премии имени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002AB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Савина Анатолия Ивановича</w:t>
      </w:r>
      <w:proofErr w:type="gramEnd"/>
    </w:p>
    <w:p w:rsidR="008F24B8" w:rsidRDefault="008F24B8" w:rsidP="008F24B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Фонда «МСБ»</w:t>
      </w:r>
    </w:p>
    <w:p w:rsidR="006A47E5" w:rsidRPr="008F24B8" w:rsidRDefault="00002ABA" w:rsidP="008F24B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Дмитриева Мария Сергеевна</w:t>
      </w:r>
    </w:p>
    <w:p w:rsidR="006A47E5" w:rsidRDefault="006A47E5" w:rsidP="008F24B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(201</w:t>
      </w:r>
      <w:r w:rsidR="00F06DF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г.)</w:t>
      </w:r>
    </w:p>
    <w:p w:rsidR="006A47E5" w:rsidRDefault="00002ABA" w:rsidP="006A47E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66950" cy="2914650"/>
            <wp:effectExtent l="0" t="0" r="0" b="0"/>
            <wp:docPr id="19" name="Рисунок 19" descr="C:\Documents and Settings\ИРИНА\Local Settings\Temporary Internet Files\Content.Word\Фото Дмитри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ИРИНА\Local Settings\Temporary Internet Files\Content.Word\Фото Дмитрие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47E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>
            <wp:extent cx="2266950" cy="3209925"/>
            <wp:effectExtent l="0" t="0" r="0" b="9525"/>
            <wp:docPr id="20" name="Рисунок 20" descr="C:\Documents and Settings\ИРИНА\Local Settings\Temporary Internet Files\Content.Word\ДИПЛОМ ДМТРИЕВА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ИРИНА\Local Settings\Temporary Internet Files\Content.Word\ДИПЛОМ ДМТРИЕВА_page-0001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7E5" w:rsidRDefault="006A47E5" w:rsidP="006A47E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1C0DBC" w:rsidRDefault="006A47E5" w:rsidP="006A47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6A47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КРАТКОЕ ОПИСАНИЕ ПРОЕКТА ЛАУРЕАТА ПРЕМИИ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             ФОНДА </w:t>
      </w:r>
      <w:r w:rsidRPr="006A47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«МСБ»,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СТУДЕНТА </w:t>
      </w:r>
      <w:r w:rsidR="001C0D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КАФЕДРЫ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proofErr w:type="gramStart"/>
      <w:r w:rsidR="001C0D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СМ</w:t>
      </w:r>
      <w:proofErr w:type="gramEnd"/>
      <w:r w:rsidR="006A647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3</w:t>
      </w:r>
    </w:p>
    <w:p w:rsidR="006A47E5" w:rsidRDefault="00002ABA" w:rsidP="006A47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Дмитриева М.С.</w:t>
      </w:r>
    </w:p>
    <w:p w:rsidR="00002ABA" w:rsidRDefault="00002ABA" w:rsidP="006A47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002ABA" w:rsidRPr="00002ABA" w:rsidRDefault="00002ABA" w:rsidP="00002ABA">
      <w:pPr>
        <w:autoSpaceDE w:val="0"/>
        <w:autoSpaceDN w:val="0"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2AB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Пр</w:t>
      </w:r>
      <w:bookmarkStart w:id="0" w:name="_GoBack"/>
      <w:bookmarkEnd w:id="0"/>
      <w:r w:rsidRPr="00002AB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оникающая боевая часть противокорабельной ракеты Х-35</w:t>
      </w:r>
    </w:p>
    <w:p w:rsidR="00002ABA" w:rsidRPr="00002ABA" w:rsidRDefault="00002ABA" w:rsidP="00002AB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ABA">
        <w:rPr>
          <w:rFonts w:ascii="Times New Roman" w:eastAsia="Calibri" w:hAnsi="Times New Roman" w:cs="Times New Roman"/>
          <w:sz w:val="28"/>
          <w:szCs w:val="28"/>
        </w:rPr>
        <w:t xml:space="preserve">Работа посвящена исследованию боевого снаряжения крылатых и противокорабельных ракет класса «поверхность-поверхность». Говоря о возможностях развития противокорабельных крылатых ракет (ПКР), военные специалисты выделяют три главных направления: техническое совершенствование, системный подход и отработка новых тактических приемов. Техническое совершенствование имеет свои направления, свои проблемы, находящиеся в определенной зависимости от тактических требований к ПКР, обусловленных в первую очередь характером выполняемых ими боевых задач. </w:t>
      </w:r>
    </w:p>
    <w:p w:rsidR="00002ABA" w:rsidRPr="00002ABA" w:rsidRDefault="00002ABA" w:rsidP="00002AB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AB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тенденциями развития противокорабельного ракетного оружия современные ПКР оснащаются проникающими БЧ. В этом случае ракета является ударником, составным элементом которого является БЧ, который взаимодействует с целью или в варианте пробития (надводные цели) или в варианте преимущественно проникания (наземные цели).  Поэтому данное исследование является полезным и необходимым в первую </w:t>
      </w:r>
      <w:r w:rsidRPr="00002ABA">
        <w:rPr>
          <w:rFonts w:ascii="Times New Roman" w:eastAsia="Calibri" w:hAnsi="Times New Roman" w:cs="Times New Roman"/>
          <w:sz w:val="28"/>
          <w:szCs w:val="28"/>
        </w:rPr>
        <w:lastRenderedPageBreak/>
        <w:t>очередь разработчикам боевого снаряжения проникающего типа для противокорабельных ракет и разработчикам самих противокорабельных ракет.</w:t>
      </w:r>
    </w:p>
    <w:p w:rsidR="00002ABA" w:rsidRPr="00002ABA" w:rsidRDefault="00002ABA" w:rsidP="00002AB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ABA">
        <w:rPr>
          <w:rFonts w:ascii="Times New Roman" w:eastAsia="Calibri" w:hAnsi="Times New Roman" w:cs="Times New Roman"/>
          <w:sz w:val="28"/>
          <w:szCs w:val="28"/>
        </w:rPr>
        <w:t xml:space="preserve">           В ходе исследования проведен анализ развития БЧ для ПКР и </w:t>
      </w:r>
      <w:proofErr w:type="gramStart"/>
      <w:r w:rsidRPr="00002ABA">
        <w:rPr>
          <w:rFonts w:ascii="Times New Roman" w:eastAsia="Calibri" w:hAnsi="Times New Roman" w:cs="Times New Roman"/>
          <w:sz w:val="28"/>
          <w:szCs w:val="28"/>
        </w:rPr>
        <w:t>КР</w:t>
      </w:r>
      <w:proofErr w:type="gramEnd"/>
      <w:r w:rsidRPr="00002ABA">
        <w:rPr>
          <w:rFonts w:ascii="Times New Roman" w:eastAsia="Calibri" w:hAnsi="Times New Roman" w:cs="Times New Roman"/>
          <w:sz w:val="28"/>
          <w:szCs w:val="28"/>
        </w:rPr>
        <w:t xml:space="preserve"> различных поколений. Были выделены этапы развития и основные схемы БЧ для </w:t>
      </w:r>
      <w:proofErr w:type="gramStart"/>
      <w:r w:rsidRPr="00002ABA">
        <w:rPr>
          <w:rFonts w:ascii="Times New Roman" w:eastAsia="Calibri" w:hAnsi="Times New Roman" w:cs="Times New Roman"/>
          <w:sz w:val="28"/>
          <w:szCs w:val="28"/>
        </w:rPr>
        <w:t>КР</w:t>
      </w:r>
      <w:proofErr w:type="gramEnd"/>
      <w:r w:rsidRPr="00002ABA">
        <w:rPr>
          <w:rFonts w:ascii="Times New Roman" w:eastAsia="Calibri" w:hAnsi="Times New Roman" w:cs="Times New Roman"/>
          <w:sz w:val="28"/>
          <w:szCs w:val="28"/>
        </w:rPr>
        <w:t xml:space="preserve"> и ПКР, были рассчитаны и приведены коэффициенты боевой части и боевых возможностей, которые являются коэффициентами качества ракеты по отношению к БЧ.</w:t>
      </w:r>
    </w:p>
    <w:p w:rsidR="00002ABA" w:rsidRPr="00002ABA" w:rsidRDefault="00002ABA" w:rsidP="00002AB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ABA">
        <w:rPr>
          <w:rFonts w:ascii="Times New Roman" w:eastAsia="Calibri" w:hAnsi="Times New Roman" w:cs="Times New Roman"/>
          <w:sz w:val="28"/>
          <w:szCs w:val="28"/>
        </w:rPr>
        <w:t xml:space="preserve">Для расчета </w:t>
      </w:r>
      <w:proofErr w:type="spellStart"/>
      <w:r w:rsidRPr="00002ABA">
        <w:rPr>
          <w:rFonts w:ascii="Times New Roman" w:eastAsia="Calibri" w:hAnsi="Times New Roman" w:cs="Times New Roman"/>
          <w:sz w:val="28"/>
          <w:szCs w:val="28"/>
        </w:rPr>
        <w:t>нагружения</w:t>
      </w:r>
      <w:proofErr w:type="spellEnd"/>
      <w:r w:rsidRPr="00002ABA">
        <w:rPr>
          <w:rFonts w:ascii="Times New Roman" w:eastAsia="Calibri" w:hAnsi="Times New Roman" w:cs="Times New Roman"/>
          <w:sz w:val="28"/>
          <w:szCs w:val="28"/>
        </w:rPr>
        <w:t xml:space="preserve"> элементов ПКР Х-35 на основе модели</w:t>
      </w:r>
      <w:r w:rsidRPr="00002ABA">
        <w:rPr>
          <w:rFonts w:ascii="Calibri" w:eastAsia="Calibri" w:hAnsi="Calibri" w:cs="Times New Roman"/>
        </w:rPr>
        <w:t xml:space="preserve"> </w:t>
      </w:r>
      <w:proofErr w:type="spellStart"/>
      <w:r w:rsidRPr="00002ABA">
        <w:rPr>
          <w:rFonts w:ascii="Times New Roman" w:eastAsia="Calibri" w:hAnsi="Times New Roman" w:cs="Times New Roman"/>
          <w:sz w:val="28"/>
          <w:szCs w:val="28"/>
        </w:rPr>
        <w:t>Кэрола</w:t>
      </w:r>
      <w:proofErr w:type="spellEnd"/>
      <w:r w:rsidRPr="00002AB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002ABA">
        <w:rPr>
          <w:rFonts w:ascii="Times New Roman" w:eastAsia="Calibri" w:hAnsi="Times New Roman" w:cs="Times New Roman"/>
          <w:sz w:val="28"/>
          <w:szCs w:val="28"/>
        </w:rPr>
        <w:t>Холта</w:t>
      </w:r>
      <w:proofErr w:type="spellEnd"/>
      <w:r w:rsidRPr="00002ABA">
        <w:rPr>
          <w:rFonts w:ascii="Times New Roman" w:eastAsia="Calibri" w:hAnsi="Times New Roman" w:cs="Times New Roman"/>
          <w:sz w:val="28"/>
          <w:szCs w:val="28"/>
        </w:rPr>
        <w:t xml:space="preserve"> головной и приборный отсеки заменяются деформируемым пористым стержнем из алюминиевых сплавов, а боевая часть и хвостовые отсеки представляются как недеформируемый жесткий цилиндр.</w:t>
      </w:r>
    </w:p>
    <w:p w:rsidR="00002ABA" w:rsidRPr="00002ABA" w:rsidRDefault="00002ABA" w:rsidP="00002AB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ABA">
        <w:rPr>
          <w:rFonts w:ascii="Times New Roman" w:eastAsia="Calibri" w:hAnsi="Times New Roman" w:cs="Times New Roman"/>
          <w:sz w:val="28"/>
          <w:szCs w:val="28"/>
        </w:rPr>
        <w:t xml:space="preserve">Расчет производился для случая пробития преграды по нормали, т.к. изгибные усилия в разы меньше энергии, которая тратится на растяжение или вырезание пробки. </w:t>
      </w:r>
      <w:proofErr w:type="gramStart"/>
      <w:r w:rsidRPr="00002ABA">
        <w:rPr>
          <w:rFonts w:ascii="Times New Roman" w:eastAsia="Calibri" w:hAnsi="Times New Roman" w:cs="Times New Roman"/>
          <w:sz w:val="28"/>
          <w:szCs w:val="28"/>
        </w:rPr>
        <w:t>При чем</w:t>
      </w:r>
      <w:proofErr w:type="gramEnd"/>
      <w:r w:rsidRPr="00002ABA">
        <w:rPr>
          <w:rFonts w:ascii="Times New Roman" w:eastAsia="Calibri" w:hAnsi="Times New Roman" w:cs="Times New Roman"/>
          <w:sz w:val="28"/>
          <w:szCs w:val="28"/>
        </w:rPr>
        <w:t xml:space="preserve"> часть преграды, накрываемая передним срезом ракеты, не деформируется. Материал преграды </w:t>
      </w:r>
      <w:proofErr w:type="gramStart"/>
      <w:r w:rsidRPr="00002ABA">
        <w:rPr>
          <w:rFonts w:ascii="Times New Roman" w:eastAsia="Calibri" w:hAnsi="Times New Roman" w:cs="Times New Roman"/>
          <w:sz w:val="28"/>
          <w:szCs w:val="28"/>
        </w:rPr>
        <w:t>упруго-идеально</w:t>
      </w:r>
      <w:proofErr w:type="gramEnd"/>
      <w:r w:rsidRPr="00002ABA">
        <w:rPr>
          <w:rFonts w:ascii="Times New Roman" w:eastAsia="Calibri" w:hAnsi="Times New Roman" w:cs="Times New Roman"/>
          <w:sz w:val="28"/>
          <w:szCs w:val="28"/>
        </w:rPr>
        <w:t xml:space="preserve"> пластический, а материал головного и приборного отсека упруго-пластический. В программе считался одномерный нестационарный вариант. Исходя из полученных результатов сделан вывод, что при проникании БЧ ПКР (имеющая компоновку как Х-35) испытывает сложное знакопеременное </w:t>
      </w:r>
      <w:proofErr w:type="spellStart"/>
      <w:r w:rsidRPr="00002ABA">
        <w:rPr>
          <w:rFonts w:ascii="Times New Roman" w:eastAsia="Calibri" w:hAnsi="Times New Roman" w:cs="Times New Roman"/>
          <w:sz w:val="28"/>
          <w:szCs w:val="28"/>
        </w:rPr>
        <w:t>нагружение</w:t>
      </w:r>
      <w:proofErr w:type="spellEnd"/>
      <w:r w:rsidRPr="00002ABA">
        <w:rPr>
          <w:rFonts w:ascii="Times New Roman" w:eastAsia="Calibri" w:hAnsi="Times New Roman" w:cs="Times New Roman"/>
          <w:sz w:val="28"/>
          <w:szCs w:val="28"/>
        </w:rPr>
        <w:t xml:space="preserve">, а также была доказана возможность применения для моделирования головных и приборных отсеков (ГО и </w:t>
      </w:r>
      <w:proofErr w:type="gramStart"/>
      <w:r w:rsidRPr="00002ABA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002ABA">
        <w:rPr>
          <w:rFonts w:ascii="Times New Roman" w:eastAsia="Calibri" w:hAnsi="Times New Roman" w:cs="Times New Roman"/>
          <w:sz w:val="28"/>
          <w:szCs w:val="28"/>
        </w:rPr>
        <w:t>) ракет пористых материалов.</w:t>
      </w:r>
    </w:p>
    <w:p w:rsidR="00002ABA" w:rsidRPr="00002ABA" w:rsidRDefault="00002ABA" w:rsidP="00002AB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ABA">
        <w:rPr>
          <w:rFonts w:ascii="Times New Roman" w:eastAsia="Calibri" w:hAnsi="Times New Roman" w:cs="Times New Roman"/>
          <w:sz w:val="28"/>
          <w:szCs w:val="28"/>
        </w:rPr>
        <w:t xml:space="preserve">Для записи физических соотношений, связывающих деформации и силовые факторы в преграде, когда деформации становятся </w:t>
      </w:r>
      <w:proofErr w:type="gramStart"/>
      <w:r w:rsidRPr="00002ABA">
        <w:rPr>
          <w:rFonts w:ascii="Times New Roman" w:eastAsia="Calibri" w:hAnsi="Times New Roman" w:cs="Times New Roman"/>
          <w:sz w:val="28"/>
          <w:szCs w:val="28"/>
        </w:rPr>
        <w:t>упруго-пластическими</w:t>
      </w:r>
      <w:proofErr w:type="gramEnd"/>
      <w:r w:rsidRPr="00002ABA">
        <w:rPr>
          <w:rFonts w:ascii="Times New Roman" w:eastAsia="Calibri" w:hAnsi="Times New Roman" w:cs="Times New Roman"/>
          <w:sz w:val="28"/>
          <w:szCs w:val="28"/>
        </w:rPr>
        <w:t xml:space="preserve">, используются соотношения теории течения, что позволяет учитывать сложное </w:t>
      </w:r>
      <w:proofErr w:type="spellStart"/>
      <w:r w:rsidRPr="00002ABA">
        <w:rPr>
          <w:rFonts w:ascii="Times New Roman" w:eastAsia="Calibri" w:hAnsi="Times New Roman" w:cs="Times New Roman"/>
          <w:sz w:val="28"/>
          <w:szCs w:val="28"/>
        </w:rPr>
        <w:t>нагружение</w:t>
      </w:r>
      <w:proofErr w:type="spellEnd"/>
      <w:r w:rsidRPr="00002ABA">
        <w:rPr>
          <w:rFonts w:ascii="Times New Roman" w:eastAsia="Calibri" w:hAnsi="Times New Roman" w:cs="Times New Roman"/>
          <w:sz w:val="28"/>
          <w:szCs w:val="28"/>
        </w:rPr>
        <w:t xml:space="preserve"> преграды и вести расчет при конечных деформациях, возникающих в преграде. Материал преграды считается упруго-идеально-пластическим, а условие текучести записывается в форме </w:t>
      </w:r>
      <w:proofErr w:type="spellStart"/>
      <w:r w:rsidRPr="00002ABA">
        <w:rPr>
          <w:rFonts w:ascii="Times New Roman" w:eastAsia="Calibri" w:hAnsi="Times New Roman" w:cs="Times New Roman"/>
          <w:sz w:val="28"/>
          <w:szCs w:val="28"/>
        </w:rPr>
        <w:t>Мизеса</w:t>
      </w:r>
      <w:proofErr w:type="spellEnd"/>
      <w:r w:rsidRPr="00002ABA">
        <w:rPr>
          <w:rFonts w:ascii="Times New Roman" w:eastAsia="Calibri" w:hAnsi="Times New Roman" w:cs="Times New Roman"/>
          <w:sz w:val="28"/>
          <w:szCs w:val="28"/>
        </w:rPr>
        <w:t>. Задача решается численно конечно-разностным методом.</w:t>
      </w:r>
    </w:p>
    <w:p w:rsidR="00002ABA" w:rsidRPr="00002ABA" w:rsidRDefault="00002ABA" w:rsidP="00002AB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ABA">
        <w:rPr>
          <w:rFonts w:ascii="Times New Roman" w:eastAsia="Calibri" w:hAnsi="Times New Roman" w:cs="Times New Roman"/>
          <w:sz w:val="28"/>
          <w:szCs w:val="28"/>
        </w:rPr>
        <w:t xml:space="preserve">Полученные результаты могут быть использованы в прочностных расчетах для БЧ и при формулировании требований к </w:t>
      </w:r>
      <w:proofErr w:type="gramStart"/>
      <w:r w:rsidRPr="00002ABA">
        <w:rPr>
          <w:rFonts w:ascii="Times New Roman" w:eastAsia="Calibri" w:hAnsi="Times New Roman" w:cs="Times New Roman"/>
          <w:sz w:val="28"/>
          <w:szCs w:val="28"/>
        </w:rPr>
        <w:t>отечественному</w:t>
      </w:r>
      <w:proofErr w:type="gramEnd"/>
      <w:r w:rsidRPr="00002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2ABA">
        <w:rPr>
          <w:rFonts w:ascii="Times New Roman" w:eastAsia="Calibri" w:hAnsi="Times New Roman" w:cs="Times New Roman"/>
          <w:sz w:val="28"/>
          <w:szCs w:val="28"/>
        </w:rPr>
        <w:t>smart</w:t>
      </w:r>
      <w:proofErr w:type="spellEnd"/>
      <w:r w:rsidRPr="00002ABA">
        <w:rPr>
          <w:rFonts w:ascii="Times New Roman" w:eastAsia="Calibri" w:hAnsi="Times New Roman" w:cs="Times New Roman"/>
          <w:sz w:val="28"/>
          <w:szCs w:val="28"/>
        </w:rPr>
        <w:t>-ВУ.</w:t>
      </w:r>
    </w:p>
    <w:p w:rsidR="00002ABA" w:rsidRPr="00002ABA" w:rsidRDefault="00002ABA" w:rsidP="00002AB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ABA">
        <w:rPr>
          <w:rFonts w:ascii="Times New Roman" w:eastAsia="Calibri" w:hAnsi="Times New Roman" w:cs="Times New Roman"/>
          <w:sz w:val="28"/>
          <w:szCs w:val="28"/>
        </w:rPr>
        <w:t>Также была разработана и модель штатной БЧ для ПРК Х-35, которая обладает меньшей массой и дает больший коэффициент боевых возможностей.</w:t>
      </w:r>
    </w:p>
    <w:p w:rsidR="00002ABA" w:rsidRDefault="00002ABA" w:rsidP="006A47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sectPr w:rsidR="00002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E5"/>
    <w:rsid w:val="00002ABA"/>
    <w:rsid w:val="00062CDF"/>
    <w:rsid w:val="000F2875"/>
    <w:rsid w:val="001C0DBC"/>
    <w:rsid w:val="001C1E24"/>
    <w:rsid w:val="00243DCA"/>
    <w:rsid w:val="00274E1B"/>
    <w:rsid w:val="006A47E5"/>
    <w:rsid w:val="006A6474"/>
    <w:rsid w:val="006B0102"/>
    <w:rsid w:val="00747B81"/>
    <w:rsid w:val="008F24B8"/>
    <w:rsid w:val="0091198E"/>
    <w:rsid w:val="00C03301"/>
    <w:rsid w:val="00C666C1"/>
    <w:rsid w:val="00F06DF2"/>
    <w:rsid w:val="00F1071B"/>
    <w:rsid w:val="00F9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2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Добрососедство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Гербова Д.</dc:creator>
  <cp:keywords/>
  <dc:description/>
  <cp:lastModifiedBy>Батаева И.В.</cp:lastModifiedBy>
  <cp:revision>2</cp:revision>
  <dcterms:created xsi:type="dcterms:W3CDTF">2019-12-11T10:08:00Z</dcterms:created>
  <dcterms:modified xsi:type="dcterms:W3CDTF">2019-12-11T10:08:00Z</dcterms:modified>
</cp:coreProperties>
</file>